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E08C" w14:textId="77777777" w:rsidR="000B5B5E" w:rsidRDefault="000B5B5E" w:rsidP="000B5B5E">
      <w:pPr>
        <w:pStyle w:val="Ttulo4"/>
        <w:spacing w:before="0" w:after="0"/>
        <w:ind w:left="-567" w:right="-568"/>
        <w:jc w:val="center"/>
        <w:rPr>
          <w:color w:val="000000" w:themeColor="text1"/>
          <w:sz w:val="24"/>
          <w:szCs w:val="24"/>
          <w:u w:val="single"/>
        </w:rPr>
      </w:pPr>
    </w:p>
    <w:p w14:paraId="03533A79" w14:textId="77777777" w:rsidR="008F79EF" w:rsidRDefault="00806D07" w:rsidP="00DD689F">
      <w:pPr>
        <w:spacing w:before="90"/>
        <w:ind w:left="72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JUSTIFICATIVA PARA AUSÊNCIA DE ORÇAMENTOS </w:t>
      </w:r>
    </w:p>
    <w:p w14:paraId="2AF6DEBE" w14:textId="77777777" w:rsidR="00DD689F" w:rsidRDefault="00806D07" w:rsidP="00DD689F">
      <w:pPr>
        <w:spacing w:before="90"/>
        <w:ind w:lef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TODAS AS MODALIDADES DE LICITAÇÃO</w:t>
      </w:r>
    </w:p>
    <w:p w14:paraId="5BCBEE00" w14:textId="77777777" w:rsidR="00B853E6" w:rsidRDefault="00B853E6" w:rsidP="00DD689F">
      <w:pPr>
        <w:spacing w:before="90"/>
        <w:ind w:left="720"/>
        <w:jc w:val="center"/>
        <w:rPr>
          <w:rFonts w:ascii="Times New Roman" w:hAnsi="Times New Roman"/>
          <w:b/>
          <w:szCs w:val="24"/>
        </w:rPr>
      </w:pPr>
    </w:p>
    <w:p w14:paraId="397651B7" w14:textId="77777777" w:rsidR="00B853E6" w:rsidRPr="00755E60" w:rsidRDefault="00B853E6" w:rsidP="00B853E6">
      <w:pPr>
        <w:spacing w:before="90"/>
        <w:rPr>
          <w:rFonts w:ascii="Times New Roman" w:hAnsi="Times New Roman"/>
          <w:i/>
          <w:szCs w:val="24"/>
          <w:highlight w:val="lightGray"/>
        </w:rPr>
      </w:pPr>
      <w:r w:rsidRPr="00755E60">
        <w:rPr>
          <w:rFonts w:ascii="Times New Roman" w:hAnsi="Times New Roman"/>
          <w:i/>
          <w:szCs w:val="24"/>
          <w:highlight w:val="lightGray"/>
        </w:rPr>
        <w:t xml:space="preserve">(descrever as razões pelas as quais não foi possível obter orçamentos para embasar a pesquisa de preço, nas ferramentas abaixo: </w:t>
      </w:r>
    </w:p>
    <w:p w14:paraId="0B29998C" w14:textId="77777777" w:rsidR="00B853E6" w:rsidRPr="00755E60" w:rsidRDefault="00B853E6" w:rsidP="00B853E6">
      <w:pPr>
        <w:pStyle w:val="PargrafodaLista"/>
        <w:numPr>
          <w:ilvl w:val="0"/>
          <w:numId w:val="4"/>
        </w:numPr>
        <w:spacing w:before="90"/>
        <w:rPr>
          <w:rFonts w:ascii="Times New Roman" w:hAnsi="Times New Roman"/>
          <w:i/>
          <w:szCs w:val="24"/>
          <w:highlight w:val="lightGray"/>
        </w:rPr>
      </w:pPr>
      <w:r w:rsidRPr="00755E60">
        <w:rPr>
          <w:rFonts w:ascii="Times New Roman" w:hAnsi="Times New Roman"/>
          <w:i/>
          <w:szCs w:val="24"/>
          <w:highlight w:val="lightGray"/>
        </w:rPr>
        <w:t>F</w:t>
      </w:r>
      <w:r w:rsidR="00755E60">
        <w:rPr>
          <w:rFonts w:ascii="Times New Roman" w:hAnsi="Times New Roman"/>
          <w:i/>
          <w:szCs w:val="24"/>
          <w:highlight w:val="lightGray"/>
        </w:rPr>
        <w:t>erramenta de Pesquisa</w:t>
      </w:r>
      <w:r w:rsidRPr="00755E60">
        <w:rPr>
          <w:rFonts w:ascii="Times New Roman" w:hAnsi="Times New Roman"/>
          <w:i/>
          <w:szCs w:val="24"/>
          <w:highlight w:val="lightGray"/>
        </w:rPr>
        <w:t xml:space="preserve"> de Preços (utilizar preferencialmente);</w:t>
      </w:r>
    </w:p>
    <w:p w14:paraId="55F44EF3" w14:textId="77777777" w:rsidR="00B853E6" w:rsidRPr="00755E60" w:rsidRDefault="00B853E6" w:rsidP="00B853E6">
      <w:pPr>
        <w:pStyle w:val="PargrafodaLista"/>
        <w:numPr>
          <w:ilvl w:val="0"/>
          <w:numId w:val="4"/>
        </w:numPr>
        <w:spacing w:before="90"/>
        <w:rPr>
          <w:rFonts w:ascii="Times New Roman" w:hAnsi="Times New Roman"/>
          <w:i/>
          <w:szCs w:val="24"/>
          <w:highlight w:val="lightGray"/>
        </w:rPr>
      </w:pPr>
      <w:r w:rsidRPr="00755E60">
        <w:rPr>
          <w:rFonts w:ascii="Times New Roman" w:hAnsi="Times New Roman"/>
          <w:i/>
          <w:szCs w:val="24"/>
          <w:highlight w:val="lightGray"/>
        </w:rPr>
        <w:t xml:space="preserve">Pesquisa em contratos anteriores </w:t>
      </w:r>
      <w:r w:rsidR="00591F12">
        <w:rPr>
          <w:rFonts w:ascii="Times New Roman" w:hAnsi="Times New Roman"/>
          <w:i/>
          <w:szCs w:val="24"/>
          <w:highlight w:val="lightGray"/>
        </w:rPr>
        <w:t xml:space="preserve">e similares ao objeto que deseja adquirir </w:t>
      </w:r>
      <w:r w:rsidRPr="00755E60">
        <w:rPr>
          <w:rFonts w:ascii="Times New Roman" w:hAnsi="Times New Roman"/>
          <w:i/>
          <w:szCs w:val="24"/>
          <w:highlight w:val="lightGray"/>
        </w:rPr>
        <w:t xml:space="preserve">firmados por órgãos e entidades da Administração pública; e  </w:t>
      </w:r>
    </w:p>
    <w:p w14:paraId="188597DF" w14:textId="77777777" w:rsidR="00B853E6" w:rsidRPr="00755E60" w:rsidRDefault="00B853E6" w:rsidP="00B853E6">
      <w:pPr>
        <w:pStyle w:val="PargrafodaLista"/>
        <w:numPr>
          <w:ilvl w:val="0"/>
          <w:numId w:val="4"/>
        </w:numPr>
        <w:spacing w:before="90"/>
        <w:rPr>
          <w:rFonts w:ascii="Times New Roman" w:hAnsi="Times New Roman"/>
          <w:i/>
          <w:szCs w:val="24"/>
          <w:highlight w:val="lightGray"/>
        </w:rPr>
      </w:pPr>
      <w:r w:rsidRPr="00755E60">
        <w:rPr>
          <w:rFonts w:ascii="Times New Roman" w:hAnsi="Times New Roman"/>
          <w:i/>
          <w:szCs w:val="24"/>
          <w:highlight w:val="lightGray"/>
        </w:rPr>
        <w:t>Pesquisa com, no mínimo, 3 fornecedores conforme Nota Técnica 01/2021 do TCE/SC).</w:t>
      </w:r>
    </w:p>
    <w:p w14:paraId="58200673" w14:textId="77777777" w:rsidR="009B0058" w:rsidRPr="009B0058" w:rsidRDefault="009B0058" w:rsidP="00FD52D5">
      <w:pPr>
        <w:spacing w:line="360" w:lineRule="auto"/>
      </w:pPr>
    </w:p>
    <w:p w14:paraId="5FA44BB5" w14:textId="77777777" w:rsidR="00806D07" w:rsidRPr="009407AE" w:rsidRDefault="00806D07" w:rsidP="00FD52D5">
      <w:pPr>
        <w:pStyle w:val="NormalWeb"/>
        <w:spacing w:before="0" w:beforeAutospacing="0" w:after="0" w:afterAutospacing="0" w:line="360" w:lineRule="auto"/>
        <w:ind w:left="708"/>
        <w:jc w:val="both"/>
      </w:pPr>
      <w:r w:rsidRPr="009407AE">
        <w:rPr>
          <w:highlight w:val="yellow"/>
        </w:rPr>
        <w:t>Considerando a necessidade de realização da contratação de empresa para fornecimento de filtros, óleos, e lubrificantes incluindo mão de obra para manutenção dos veículos da frota do Município de Palhoça.</w:t>
      </w:r>
    </w:p>
    <w:p w14:paraId="3CF9481B" w14:textId="77777777" w:rsidR="00A534B2" w:rsidRDefault="00A534B2" w:rsidP="00FD52D5">
      <w:pPr>
        <w:pStyle w:val="NormalWeb"/>
        <w:spacing w:before="0" w:beforeAutospacing="0" w:after="0" w:afterAutospacing="0" w:line="360" w:lineRule="auto"/>
        <w:jc w:val="both"/>
        <w:rPr>
          <w:color w:val="666666"/>
        </w:rPr>
      </w:pPr>
    </w:p>
    <w:p w14:paraId="424FF61F" w14:textId="77777777" w:rsidR="00A534B2" w:rsidRPr="009407AE" w:rsidRDefault="00755E60" w:rsidP="00755E60">
      <w:pPr>
        <w:pStyle w:val="NormalWeb"/>
        <w:spacing w:before="0" w:beforeAutospacing="0" w:after="0" w:afterAutospacing="0" w:line="360" w:lineRule="auto"/>
        <w:ind w:left="708"/>
        <w:jc w:val="both"/>
      </w:pPr>
      <w:r w:rsidRPr="00ED24EF">
        <w:t>Considerando que, toda compra pública deve ser destinada a gerar o resultado de contratação mais vantajoso para a Administração Pública, visando à qualidade do objeto ou serviço e o preço</w:t>
      </w:r>
      <w:r>
        <w:t xml:space="preserve">, </w:t>
      </w:r>
      <w:r w:rsidR="009367F4" w:rsidRPr="009407AE">
        <w:t>foram realizadas pesquisas de preços nas ferramentas abaixo</w:t>
      </w:r>
      <w:r w:rsidR="00591F12">
        <w:t xml:space="preserve"> para construir a média de mercado</w:t>
      </w:r>
      <w:r w:rsidR="009367F4" w:rsidRPr="009407AE">
        <w:t>:</w:t>
      </w:r>
    </w:p>
    <w:p w14:paraId="10A1D397" w14:textId="77777777" w:rsidR="00B853E6" w:rsidRDefault="00B853E6" w:rsidP="007704DD">
      <w:pPr>
        <w:pStyle w:val="NormalWeb"/>
        <w:spacing w:before="0" w:beforeAutospacing="0" w:after="0" w:afterAutospacing="0" w:line="360" w:lineRule="auto"/>
        <w:ind w:right="-43"/>
        <w:jc w:val="both"/>
        <w:rPr>
          <w:color w:val="666666"/>
        </w:rPr>
      </w:pPr>
    </w:p>
    <w:p w14:paraId="2B3EF08B" w14:textId="77777777" w:rsidR="00B853E6" w:rsidRDefault="00755E60" w:rsidP="00B853E6">
      <w:pPr>
        <w:pStyle w:val="PargrafodaLista"/>
        <w:numPr>
          <w:ilvl w:val="0"/>
          <w:numId w:val="3"/>
        </w:numPr>
        <w:spacing w:before="9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FERRAMENTA DE PESQUISA DE</w:t>
      </w:r>
      <w:r w:rsidR="00B853E6">
        <w:rPr>
          <w:rFonts w:ascii="Times New Roman" w:hAnsi="Times New Roman"/>
          <w:b/>
          <w:szCs w:val="24"/>
        </w:rPr>
        <w:t xml:space="preserve"> PREÇOS</w:t>
      </w:r>
    </w:p>
    <w:p w14:paraId="289ED02D" w14:textId="77777777" w:rsidR="00B853E6" w:rsidRDefault="00B853E6" w:rsidP="00B853E6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6FA5135B" w14:textId="77777777" w:rsidR="00A534B2" w:rsidRPr="00591F12" w:rsidRDefault="00B853E6" w:rsidP="00FD52D5">
      <w:pPr>
        <w:pStyle w:val="NormalWeb"/>
        <w:spacing w:before="0" w:beforeAutospacing="0" w:after="0" w:afterAutospacing="0" w:line="360" w:lineRule="auto"/>
        <w:ind w:left="720" w:right="-1"/>
        <w:jc w:val="both"/>
      </w:pPr>
      <w:r w:rsidRPr="00591F12">
        <w:t xml:space="preserve">Em pesquisa, em ferramenta eletrônica especializada, foram obtidos </w:t>
      </w:r>
      <w:r w:rsidR="000D46B0" w:rsidRPr="00591F12">
        <w:rPr>
          <w:highlight w:val="yellow"/>
        </w:rPr>
        <w:t>01</w:t>
      </w:r>
      <w:r w:rsidRPr="00591F12">
        <w:rPr>
          <w:highlight w:val="yellow"/>
        </w:rPr>
        <w:t xml:space="preserve"> </w:t>
      </w:r>
      <w:r w:rsidR="000D46B0" w:rsidRPr="00591F12">
        <w:rPr>
          <w:highlight w:val="yellow"/>
        </w:rPr>
        <w:t>(um</w:t>
      </w:r>
      <w:r w:rsidRPr="00591F12">
        <w:rPr>
          <w:highlight w:val="yellow"/>
        </w:rPr>
        <w:t>)</w:t>
      </w:r>
      <w:r w:rsidRPr="00591F12">
        <w:t xml:space="preserve"> </w:t>
      </w:r>
      <w:r w:rsidR="000D46B0" w:rsidRPr="00591F12">
        <w:t>orçamento</w:t>
      </w:r>
      <w:r w:rsidRPr="00591F12">
        <w:t xml:space="preserve"> p</w:t>
      </w:r>
      <w:r w:rsidR="00A534B2" w:rsidRPr="00591F12">
        <w:t>ara a composição do preço médio, com objeto com descrição e especificações semelhantes.</w:t>
      </w:r>
      <w:r w:rsidR="000864FC" w:rsidRPr="00591F12">
        <w:t xml:space="preserve"> </w:t>
      </w:r>
    </w:p>
    <w:p w14:paraId="2AE46F10" w14:textId="77777777" w:rsidR="009367F4" w:rsidRPr="00591F12" w:rsidRDefault="009367F4" w:rsidP="00FD52D5">
      <w:pPr>
        <w:pStyle w:val="NormalWeb"/>
        <w:spacing w:before="0" w:beforeAutospacing="0" w:after="0" w:afterAutospacing="0" w:line="360" w:lineRule="auto"/>
        <w:ind w:left="720" w:right="-1"/>
        <w:jc w:val="both"/>
      </w:pPr>
    </w:p>
    <w:p w14:paraId="18858CF6" w14:textId="77777777" w:rsidR="00645294" w:rsidRPr="00591F12" w:rsidRDefault="009367F4" w:rsidP="00FD52D5">
      <w:pPr>
        <w:pStyle w:val="NormalWeb"/>
        <w:spacing w:before="0" w:beforeAutospacing="0" w:after="0" w:afterAutospacing="0" w:line="360" w:lineRule="auto"/>
        <w:ind w:left="720" w:right="-1"/>
        <w:jc w:val="both"/>
        <w:rPr>
          <w:i/>
        </w:rPr>
      </w:pPr>
      <w:r w:rsidRPr="00591F12">
        <w:rPr>
          <w:i/>
          <w:highlight w:val="lightGray"/>
        </w:rPr>
        <w:t>*</w:t>
      </w:r>
      <w:r w:rsidR="000D46B0" w:rsidRPr="00591F12">
        <w:rPr>
          <w:i/>
          <w:highlight w:val="lightGray"/>
        </w:rPr>
        <w:t>(</w:t>
      </w:r>
      <w:r w:rsidRPr="00591F12">
        <w:rPr>
          <w:i/>
          <w:highlight w:val="lightGray"/>
        </w:rPr>
        <w:t>É necessário colocar print do resultado</w:t>
      </w:r>
      <w:r w:rsidR="00591F12" w:rsidRPr="00591F12">
        <w:rPr>
          <w:i/>
          <w:highlight w:val="lightGray"/>
        </w:rPr>
        <w:t>/relatório gerado na ferramenta de pesquisa de preços</w:t>
      </w:r>
      <w:r w:rsidR="000D46B0" w:rsidRPr="00591F12">
        <w:rPr>
          <w:i/>
          <w:highlight w:val="lightGray"/>
        </w:rPr>
        <w:t>)</w:t>
      </w:r>
    </w:p>
    <w:p w14:paraId="567D6C2B" w14:textId="77777777" w:rsidR="006214BD" w:rsidRDefault="006214BD" w:rsidP="009367F4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24AB8D4E" w14:textId="77777777" w:rsidR="006214BD" w:rsidRDefault="006214BD" w:rsidP="009367F4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6458C173" w14:textId="77777777" w:rsidR="006214BD" w:rsidRDefault="006214BD" w:rsidP="009367F4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3C0249FF" w14:textId="77777777" w:rsidR="00B853E6" w:rsidRDefault="00B853E6" w:rsidP="00B853E6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3EDD80B9" w14:textId="77777777" w:rsidR="00B853E6" w:rsidRDefault="006214BD" w:rsidP="00B853E6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right="-43"/>
        <w:jc w:val="both"/>
        <w:rPr>
          <w:b/>
        </w:rPr>
      </w:pPr>
      <w:r>
        <w:rPr>
          <w:b/>
        </w:rPr>
        <w:lastRenderedPageBreak/>
        <w:t xml:space="preserve">PESQUISA EM CONTRATOS </w:t>
      </w:r>
      <w:r w:rsidR="00B853E6" w:rsidRPr="00B853E6">
        <w:rPr>
          <w:b/>
        </w:rPr>
        <w:t>ANTERIORES FIRMADOS COM ÓRGÃOS E ENTIDADES DA ADMINISTRAÇÃO PÚBLICA</w:t>
      </w:r>
    </w:p>
    <w:p w14:paraId="529FFED1" w14:textId="77777777" w:rsidR="00B853E6" w:rsidRDefault="00B853E6" w:rsidP="00B853E6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b/>
        </w:rPr>
      </w:pPr>
    </w:p>
    <w:p w14:paraId="5EFF67F3" w14:textId="77777777" w:rsidR="00A534B2" w:rsidRPr="00591F12" w:rsidRDefault="00A534B2" w:rsidP="00FD52D5">
      <w:pPr>
        <w:pStyle w:val="NormalWeb"/>
        <w:spacing w:before="0" w:beforeAutospacing="0" w:after="0" w:afterAutospacing="0" w:line="360" w:lineRule="auto"/>
        <w:ind w:left="720" w:right="-1"/>
        <w:jc w:val="both"/>
      </w:pPr>
      <w:r w:rsidRPr="00591F12">
        <w:t xml:space="preserve">Foram realizadas pesquisas nos portais de transparência de outros órgãos e entidades públicas, no entanto, em razão das especificações do objeto que estamos prospectando contratar, </w:t>
      </w:r>
      <w:r w:rsidRPr="00591F12">
        <w:rPr>
          <w:highlight w:val="yellow"/>
        </w:rPr>
        <w:t>não foram encontrados orçamentos compatíveis.</w:t>
      </w:r>
      <w:r w:rsidRPr="00591F12">
        <w:t xml:space="preserve"> </w:t>
      </w:r>
    </w:p>
    <w:p w14:paraId="0743AED2" w14:textId="77777777" w:rsidR="000D46B0" w:rsidRDefault="000D46B0" w:rsidP="00FD52D5">
      <w:pPr>
        <w:pStyle w:val="NormalWeb"/>
        <w:spacing w:before="0" w:beforeAutospacing="0" w:after="0" w:afterAutospacing="0" w:line="360" w:lineRule="auto"/>
        <w:ind w:left="720" w:right="-1"/>
        <w:jc w:val="both"/>
        <w:rPr>
          <w:color w:val="666666"/>
        </w:rPr>
      </w:pPr>
    </w:p>
    <w:p w14:paraId="4A966416" w14:textId="77777777" w:rsidR="000D46B0" w:rsidRPr="00591F12" w:rsidRDefault="000D46B0" w:rsidP="00FD52D5">
      <w:pPr>
        <w:pStyle w:val="NormalWeb"/>
        <w:spacing w:before="0" w:beforeAutospacing="0" w:after="0" w:afterAutospacing="0" w:line="360" w:lineRule="auto"/>
        <w:ind w:left="720" w:right="-1"/>
        <w:jc w:val="both"/>
        <w:rPr>
          <w:i/>
        </w:rPr>
      </w:pPr>
      <w:r w:rsidRPr="00591F12">
        <w:rPr>
          <w:i/>
          <w:highlight w:val="lightGray"/>
        </w:rPr>
        <w:t>*(Caso haja contratos encontrados nos demais Órgãos e Entidades, preencher a tabela abaixo)</w:t>
      </w:r>
    </w:p>
    <w:p w14:paraId="068A89DF" w14:textId="77777777" w:rsidR="009367F4" w:rsidRDefault="009367F4" w:rsidP="00A534B2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0BD7D661" w14:textId="77777777" w:rsidR="009367F4" w:rsidRPr="00591F12" w:rsidRDefault="009367F4" w:rsidP="009367F4">
      <w:pPr>
        <w:pStyle w:val="NormalWeb"/>
        <w:spacing w:before="0" w:beforeAutospacing="0" w:after="0" w:afterAutospacing="0" w:line="360" w:lineRule="auto"/>
        <w:ind w:left="720" w:right="-43"/>
      </w:pPr>
      <w:r w:rsidRPr="00591F12">
        <w:t xml:space="preserve">Contrato </w:t>
      </w:r>
      <w:r w:rsidRPr="00A70C3C">
        <w:rPr>
          <w:highlight w:val="yellow"/>
        </w:rPr>
        <w:t xml:space="preserve">XX/202X – Nome do </w:t>
      </w:r>
      <w:r w:rsidR="000D46B0" w:rsidRPr="00A70C3C">
        <w:rPr>
          <w:highlight w:val="yellow"/>
        </w:rPr>
        <w:t>Órgão</w:t>
      </w:r>
      <w:r w:rsidRPr="00A70C3C">
        <w:rPr>
          <w:highlight w:val="yellow"/>
        </w:rPr>
        <w:t>/Entidade</w:t>
      </w:r>
    </w:p>
    <w:tbl>
      <w:tblPr>
        <w:tblStyle w:val="Tabelacomgrade"/>
        <w:tblW w:w="7922" w:type="dxa"/>
        <w:tblInd w:w="720" w:type="dxa"/>
        <w:tblLook w:val="04A0" w:firstRow="1" w:lastRow="0" w:firstColumn="1" w:lastColumn="0" w:noHBand="0" w:noVBand="1"/>
      </w:tblPr>
      <w:tblGrid>
        <w:gridCol w:w="797"/>
        <w:gridCol w:w="2796"/>
        <w:gridCol w:w="1211"/>
        <w:gridCol w:w="1695"/>
        <w:gridCol w:w="1423"/>
      </w:tblGrid>
      <w:tr w:rsidR="009367F4" w14:paraId="6C1814D3" w14:textId="77777777" w:rsidTr="00E83D36">
        <w:tc>
          <w:tcPr>
            <w:tcW w:w="797" w:type="dxa"/>
          </w:tcPr>
          <w:p w14:paraId="7247FAB6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 xml:space="preserve">Item </w:t>
            </w:r>
          </w:p>
        </w:tc>
        <w:tc>
          <w:tcPr>
            <w:tcW w:w="2796" w:type="dxa"/>
          </w:tcPr>
          <w:p w14:paraId="4E6A1027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Objeto/Serviço</w:t>
            </w:r>
          </w:p>
        </w:tc>
        <w:tc>
          <w:tcPr>
            <w:tcW w:w="1211" w:type="dxa"/>
          </w:tcPr>
          <w:p w14:paraId="55FA81B5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Quant.</w:t>
            </w:r>
          </w:p>
        </w:tc>
        <w:tc>
          <w:tcPr>
            <w:tcW w:w="1695" w:type="dxa"/>
          </w:tcPr>
          <w:p w14:paraId="064ED8EB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Valor Unit.</w:t>
            </w:r>
          </w:p>
        </w:tc>
        <w:tc>
          <w:tcPr>
            <w:tcW w:w="1423" w:type="dxa"/>
          </w:tcPr>
          <w:p w14:paraId="19E472E2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Valor Total</w:t>
            </w:r>
          </w:p>
        </w:tc>
      </w:tr>
      <w:tr w:rsidR="009367F4" w14:paraId="6AB4F552" w14:textId="77777777" w:rsidTr="00E83D36">
        <w:tc>
          <w:tcPr>
            <w:tcW w:w="797" w:type="dxa"/>
          </w:tcPr>
          <w:p w14:paraId="72E3E2DA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  <w:r>
              <w:rPr>
                <w:color w:val="666666"/>
              </w:rPr>
              <w:t>1.</w:t>
            </w:r>
          </w:p>
        </w:tc>
        <w:tc>
          <w:tcPr>
            <w:tcW w:w="2796" w:type="dxa"/>
          </w:tcPr>
          <w:p w14:paraId="2B82BD4F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211" w:type="dxa"/>
          </w:tcPr>
          <w:p w14:paraId="51A539C5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695" w:type="dxa"/>
          </w:tcPr>
          <w:p w14:paraId="4AA60BA3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423" w:type="dxa"/>
          </w:tcPr>
          <w:p w14:paraId="5F195A95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</w:tr>
      <w:tr w:rsidR="009367F4" w14:paraId="0F68537D" w14:textId="77777777" w:rsidTr="00E83D36">
        <w:tc>
          <w:tcPr>
            <w:tcW w:w="797" w:type="dxa"/>
          </w:tcPr>
          <w:p w14:paraId="3B3439E9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  <w:r>
              <w:rPr>
                <w:color w:val="666666"/>
              </w:rPr>
              <w:t>2.</w:t>
            </w:r>
          </w:p>
        </w:tc>
        <w:tc>
          <w:tcPr>
            <w:tcW w:w="2796" w:type="dxa"/>
          </w:tcPr>
          <w:p w14:paraId="5D9E616E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211" w:type="dxa"/>
          </w:tcPr>
          <w:p w14:paraId="200CA53C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695" w:type="dxa"/>
          </w:tcPr>
          <w:p w14:paraId="202BB455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423" w:type="dxa"/>
          </w:tcPr>
          <w:p w14:paraId="47B1E9EF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</w:tr>
    </w:tbl>
    <w:p w14:paraId="305797D6" w14:textId="77777777" w:rsidR="009367F4" w:rsidRDefault="009367F4" w:rsidP="009367F4">
      <w:pPr>
        <w:pStyle w:val="NormalWeb"/>
        <w:spacing w:before="0" w:beforeAutospacing="0" w:after="0" w:afterAutospacing="0" w:line="360" w:lineRule="auto"/>
        <w:ind w:left="720" w:right="-43"/>
        <w:rPr>
          <w:color w:val="666666"/>
        </w:rPr>
      </w:pPr>
    </w:p>
    <w:p w14:paraId="2B68B3C7" w14:textId="77777777" w:rsidR="009367F4" w:rsidRPr="00591F12" w:rsidRDefault="009367F4" w:rsidP="009367F4">
      <w:pPr>
        <w:pStyle w:val="NormalWeb"/>
        <w:spacing w:before="0" w:beforeAutospacing="0" w:after="0" w:afterAutospacing="0" w:line="360" w:lineRule="auto"/>
        <w:ind w:left="720" w:right="-43"/>
      </w:pPr>
      <w:r w:rsidRPr="00591F12">
        <w:t xml:space="preserve">Contrato </w:t>
      </w:r>
      <w:r w:rsidRPr="00A70C3C">
        <w:rPr>
          <w:highlight w:val="yellow"/>
        </w:rPr>
        <w:t xml:space="preserve">XX/202X – Nome do </w:t>
      </w:r>
      <w:proofErr w:type="spellStart"/>
      <w:r w:rsidRPr="00A70C3C">
        <w:rPr>
          <w:highlight w:val="yellow"/>
        </w:rPr>
        <w:t>Orgão</w:t>
      </w:r>
      <w:proofErr w:type="spellEnd"/>
      <w:r w:rsidRPr="00A70C3C">
        <w:rPr>
          <w:highlight w:val="yellow"/>
        </w:rPr>
        <w:t>/Entidade</w:t>
      </w:r>
    </w:p>
    <w:tbl>
      <w:tblPr>
        <w:tblStyle w:val="Tabelacomgrade"/>
        <w:tblW w:w="7922" w:type="dxa"/>
        <w:tblInd w:w="720" w:type="dxa"/>
        <w:tblLook w:val="04A0" w:firstRow="1" w:lastRow="0" w:firstColumn="1" w:lastColumn="0" w:noHBand="0" w:noVBand="1"/>
      </w:tblPr>
      <w:tblGrid>
        <w:gridCol w:w="797"/>
        <w:gridCol w:w="2796"/>
        <w:gridCol w:w="1211"/>
        <w:gridCol w:w="1695"/>
        <w:gridCol w:w="1423"/>
      </w:tblGrid>
      <w:tr w:rsidR="009367F4" w14:paraId="4B16762D" w14:textId="77777777" w:rsidTr="00E83D36">
        <w:tc>
          <w:tcPr>
            <w:tcW w:w="797" w:type="dxa"/>
          </w:tcPr>
          <w:p w14:paraId="6AC59442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 xml:space="preserve">Item </w:t>
            </w:r>
          </w:p>
        </w:tc>
        <w:tc>
          <w:tcPr>
            <w:tcW w:w="2796" w:type="dxa"/>
          </w:tcPr>
          <w:p w14:paraId="38D5A64E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Objeto/Serviço</w:t>
            </w:r>
          </w:p>
        </w:tc>
        <w:tc>
          <w:tcPr>
            <w:tcW w:w="1211" w:type="dxa"/>
          </w:tcPr>
          <w:p w14:paraId="7759E1C3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Quant.</w:t>
            </w:r>
          </w:p>
        </w:tc>
        <w:tc>
          <w:tcPr>
            <w:tcW w:w="1695" w:type="dxa"/>
          </w:tcPr>
          <w:p w14:paraId="4E36F777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Valor Unit.</w:t>
            </w:r>
          </w:p>
        </w:tc>
        <w:tc>
          <w:tcPr>
            <w:tcW w:w="1423" w:type="dxa"/>
          </w:tcPr>
          <w:p w14:paraId="2DC0735D" w14:textId="77777777" w:rsidR="009367F4" w:rsidRPr="000864FC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b/>
              </w:rPr>
            </w:pPr>
            <w:r w:rsidRPr="000864FC">
              <w:rPr>
                <w:b/>
              </w:rPr>
              <w:t>Valor Total</w:t>
            </w:r>
          </w:p>
        </w:tc>
      </w:tr>
      <w:tr w:rsidR="009367F4" w14:paraId="30529B3D" w14:textId="77777777" w:rsidTr="00E83D36">
        <w:tc>
          <w:tcPr>
            <w:tcW w:w="797" w:type="dxa"/>
          </w:tcPr>
          <w:p w14:paraId="37C06973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  <w:r>
              <w:rPr>
                <w:color w:val="666666"/>
              </w:rPr>
              <w:t>1.</w:t>
            </w:r>
          </w:p>
        </w:tc>
        <w:tc>
          <w:tcPr>
            <w:tcW w:w="2796" w:type="dxa"/>
          </w:tcPr>
          <w:p w14:paraId="6B9A3718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211" w:type="dxa"/>
          </w:tcPr>
          <w:p w14:paraId="16407727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695" w:type="dxa"/>
          </w:tcPr>
          <w:p w14:paraId="4227C824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423" w:type="dxa"/>
          </w:tcPr>
          <w:p w14:paraId="0B35F708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</w:tr>
      <w:tr w:rsidR="009367F4" w14:paraId="0D952E5B" w14:textId="77777777" w:rsidTr="00E83D36">
        <w:tc>
          <w:tcPr>
            <w:tcW w:w="797" w:type="dxa"/>
          </w:tcPr>
          <w:p w14:paraId="6C1A48E0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  <w:r>
              <w:rPr>
                <w:color w:val="666666"/>
              </w:rPr>
              <w:t>2.</w:t>
            </w:r>
          </w:p>
        </w:tc>
        <w:tc>
          <w:tcPr>
            <w:tcW w:w="2796" w:type="dxa"/>
          </w:tcPr>
          <w:p w14:paraId="476AB1C9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211" w:type="dxa"/>
          </w:tcPr>
          <w:p w14:paraId="633341F6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695" w:type="dxa"/>
          </w:tcPr>
          <w:p w14:paraId="40766152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  <w:tc>
          <w:tcPr>
            <w:tcW w:w="1423" w:type="dxa"/>
          </w:tcPr>
          <w:p w14:paraId="1880504C" w14:textId="77777777" w:rsidR="009367F4" w:rsidRDefault="009367F4" w:rsidP="00E83D36">
            <w:pPr>
              <w:pStyle w:val="NormalWeb"/>
              <w:spacing w:before="0" w:beforeAutospacing="0" w:after="0" w:afterAutospacing="0" w:line="360" w:lineRule="auto"/>
              <w:ind w:right="-43"/>
              <w:rPr>
                <w:color w:val="666666"/>
              </w:rPr>
            </w:pPr>
          </w:p>
        </w:tc>
      </w:tr>
    </w:tbl>
    <w:p w14:paraId="2F201C1F" w14:textId="77777777" w:rsidR="009367F4" w:rsidRDefault="009367F4" w:rsidP="00A534B2">
      <w:pPr>
        <w:pStyle w:val="NormalWeb"/>
        <w:spacing w:before="0" w:beforeAutospacing="0" w:after="0" w:afterAutospacing="0" w:line="360" w:lineRule="auto"/>
        <w:ind w:left="720" w:right="-43"/>
        <w:jc w:val="both"/>
        <w:rPr>
          <w:color w:val="666666"/>
        </w:rPr>
      </w:pPr>
    </w:p>
    <w:p w14:paraId="7DE39A8A" w14:textId="77777777" w:rsidR="00A534B2" w:rsidRDefault="00A534B2" w:rsidP="00645294">
      <w:pPr>
        <w:pStyle w:val="NormalWeb"/>
        <w:spacing w:before="0" w:beforeAutospacing="0" w:after="0" w:afterAutospacing="0" w:line="360" w:lineRule="auto"/>
        <w:ind w:right="-43"/>
        <w:jc w:val="both"/>
        <w:rPr>
          <w:color w:val="666666"/>
        </w:rPr>
      </w:pPr>
    </w:p>
    <w:p w14:paraId="3A84AC87" w14:textId="2BFD5C0E" w:rsidR="00806D07" w:rsidRPr="004C3776" w:rsidRDefault="00A534B2" w:rsidP="007704D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right="-43"/>
        <w:jc w:val="both"/>
        <w:rPr>
          <w:b/>
        </w:rPr>
      </w:pPr>
      <w:r w:rsidRPr="00A534B2">
        <w:rPr>
          <w:b/>
        </w:rPr>
        <w:t>PESQUISA DE ORÇAMENTOS COM FORNECEDORES</w:t>
      </w:r>
    </w:p>
    <w:p w14:paraId="16718BBE" w14:textId="77777777" w:rsidR="004C3776" w:rsidRDefault="004C3776" w:rsidP="004C3776">
      <w:pPr>
        <w:spacing w:before="240"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o disposto no art. 23 da Lei 14.133/2021 que trata do valor previamente estimado da contratação, o qual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1D0AA32F" w14:textId="77777777" w:rsidR="004C3776" w:rsidRDefault="004C3776" w:rsidP="004C3776">
      <w:pPr>
        <w:spacing w:before="240" w:after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para aquisição de bens e contratação de serviços em geral, o valor estimado será definido com base no melhor preço aferido através de pesquisa de </w:t>
      </w:r>
      <w:r>
        <w:rPr>
          <w:rFonts w:ascii="Times New Roman" w:hAnsi="Times New Roman"/>
          <w:szCs w:val="24"/>
        </w:rPr>
        <w:lastRenderedPageBreak/>
        <w:t xml:space="preserve">mercado, podendo ser adotadas como principais fontes de pesquisa de preços os seguintes parâmetros:  </w:t>
      </w:r>
    </w:p>
    <w:p w14:paraId="3C230D87" w14:textId="77777777" w:rsidR="004C3776" w:rsidRDefault="004C3776" w:rsidP="004C3776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0" w:name="art23§1i"/>
      <w:bookmarkEnd w:id="0"/>
      <w:r>
        <w:rPr>
          <w:rFonts w:ascii="Times New Roman" w:hAnsi="Times New Roman"/>
          <w:sz w:val="20"/>
        </w:rPr>
        <w:t xml:space="preserve">I - </w:t>
      </w:r>
      <w:proofErr w:type="gramStart"/>
      <w:r>
        <w:rPr>
          <w:rFonts w:ascii="Times New Roman" w:hAnsi="Times New Roman"/>
          <w:sz w:val="20"/>
        </w:rPr>
        <w:t>composição</w:t>
      </w:r>
      <w:proofErr w:type="gramEnd"/>
      <w:r>
        <w:rPr>
          <w:rFonts w:ascii="Times New Roman" w:hAnsi="Times New Roman"/>
          <w:sz w:val="20"/>
        </w:rPr>
        <w:t xml:space="preserve"> de custos unitários menores ou iguais à mediana do item correspondente no painel para consulta de preços ou no banco de preços em saúde disponíveis no Portal Nacional de Contratações Públicas (PNCP);</w:t>
      </w:r>
    </w:p>
    <w:p w14:paraId="27CACA83" w14:textId="77777777" w:rsidR="004C3776" w:rsidRDefault="004C3776" w:rsidP="004C3776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1" w:name="art23§1ii"/>
      <w:bookmarkEnd w:id="1"/>
      <w:r>
        <w:rPr>
          <w:rFonts w:ascii="Times New Roman" w:hAnsi="Times New Roman"/>
          <w:sz w:val="20"/>
        </w:rPr>
        <w:t xml:space="preserve">II - </w:t>
      </w:r>
      <w:proofErr w:type="gramStart"/>
      <w:r>
        <w:rPr>
          <w:rFonts w:ascii="Times New Roman" w:hAnsi="Times New Roman"/>
          <w:sz w:val="20"/>
        </w:rPr>
        <w:t>contratações</w:t>
      </w:r>
      <w:proofErr w:type="gramEnd"/>
      <w:r>
        <w:rPr>
          <w:rFonts w:ascii="Times New Roman" w:hAnsi="Times New Roman"/>
          <w:sz w:val="20"/>
        </w:rPr>
        <w:t xml:space="preserve">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29C7CE98" w14:textId="77777777" w:rsidR="004C3776" w:rsidRDefault="004C3776" w:rsidP="004C3776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2" w:name="art23§1iii"/>
      <w:bookmarkEnd w:id="2"/>
      <w:r>
        <w:rPr>
          <w:rFonts w:ascii="Times New Roman" w:hAnsi="Times New Roman"/>
          <w:sz w:val="20"/>
        </w:rPr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714D703D" w14:textId="77777777" w:rsidR="004C3776" w:rsidRDefault="004C3776" w:rsidP="004C3776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3" w:name="art23§1iv"/>
      <w:bookmarkEnd w:id="3"/>
      <w:r>
        <w:rPr>
          <w:rFonts w:ascii="Times New Roman" w:hAnsi="Times New Roman"/>
          <w:sz w:val="20"/>
        </w:rPr>
        <w:t xml:space="preserve">IV - </w:t>
      </w:r>
      <w:proofErr w:type="gramStart"/>
      <w:r>
        <w:rPr>
          <w:rFonts w:ascii="Times New Roman" w:hAnsi="Times New Roman"/>
          <w:sz w:val="20"/>
        </w:rPr>
        <w:t>pesquisa</w:t>
      </w:r>
      <w:proofErr w:type="gramEnd"/>
      <w:r>
        <w:rPr>
          <w:rFonts w:ascii="Times New Roman" w:hAnsi="Times New Roman"/>
          <w:sz w:val="20"/>
        </w:rPr>
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42D7B7E4" w14:textId="77777777" w:rsidR="004C3776" w:rsidRDefault="004C3776" w:rsidP="004C3776">
      <w:pPr>
        <w:spacing w:before="240" w:after="240"/>
        <w:ind w:left="3540" w:right="-43"/>
        <w:jc w:val="both"/>
        <w:rPr>
          <w:rFonts w:ascii="Times New Roman" w:hAnsi="Times New Roman"/>
          <w:sz w:val="20"/>
        </w:rPr>
      </w:pPr>
      <w:bookmarkStart w:id="4" w:name="art23§1v"/>
      <w:bookmarkEnd w:id="4"/>
      <w:r>
        <w:rPr>
          <w:rFonts w:ascii="Times New Roman" w:hAnsi="Times New Roman"/>
          <w:sz w:val="20"/>
        </w:rPr>
        <w:t xml:space="preserve">V - </w:t>
      </w:r>
      <w:proofErr w:type="gramStart"/>
      <w:r>
        <w:rPr>
          <w:rFonts w:ascii="Times New Roman" w:hAnsi="Times New Roman"/>
          <w:sz w:val="20"/>
        </w:rPr>
        <w:t>pesquisa</w:t>
      </w:r>
      <w:proofErr w:type="gramEnd"/>
      <w:r>
        <w:rPr>
          <w:rFonts w:ascii="Times New Roman" w:hAnsi="Times New Roman"/>
          <w:sz w:val="20"/>
        </w:rPr>
        <w:t xml:space="preserve"> na base nacional de notas fiscais eletrônicas, na forma de regulamento</w:t>
      </w:r>
    </w:p>
    <w:p w14:paraId="08E735F2" w14:textId="77777777" w:rsidR="000864FC" w:rsidRPr="00591F12" w:rsidRDefault="000864FC" w:rsidP="004C3776">
      <w:pPr>
        <w:pStyle w:val="NormalWeb"/>
        <w:spacing w:before="240" w:beforeAutospacing="0" w:after="240" w:afterAutospacing="0"/>
        <w:ind w:left="2268" w:right="-43"/>
        <w:jc w:val="right"/>
      </w:pPr>
    </w:p>
    <w:p w14:paraId="769353C9" w14:textId="77777777" w:rsidR="004C3776" w:rsidRDefault="00806D07" w:rsidP="003357F4">
      <w:pPr>
        <w:pStyle w:val="NormalWeb"/>
        <w:spacing w:before="0" w:beforeAutospacing="0" w:after="0" w:afterAutospacing="0" w:line="360" w:lineRule="auto"/>
        <w:jc w:val="both"/>
      </w:pPr>
      <w:r w:rsidRPr="00591F12">
        <w:t>Prezando pela economicidade e contratação dos serviços de acordo</w:t>
      </w:r>
      <w:r w:rsidR="004C3776">
        <w:t xml:space="preserve"> com a Lei 14.133/2021</w:t>
      </w:r>
      <w:r w:rsidR="00591F12" w:rsidRPr="00591F12">
        <w:t>, foi realizada 02</w:t>
      </w:r>
      <w:r w:rsidRPr="00591F12">
        <w:t xml:space="preserve"> solicitações de orçamento com empresas do ramo, no entanto, foi possível coletar </w:t>
      </w:r>
      <w:r w:rsidR="00591F12" w:rsidRPr="00A70C3C">
        <w:rPr>
          <w:highlight w:val="yellow"/>
        </w:rPr>
        <w:t>apenas 01 (um</w:t>
      </w:r>
      <w:r w:rsidR="007704DD" w:rsidRPr="00A70C3C">
        <w:rPr>
          <w:highlight w:val="yellow"/>
        </w:rPr>
        <w:t>)</w:t>
      </w:r>
      <w:r w:rsidR="00AA3252" w:rsidRPr="00A70C3C">
        <w:rPr>
          <w:highlight w:val="yellow"/>
        </w:rPr>
        <w:t xml:space="preserve"> orçamento</w:t>
      </w:r>
      <w:r w:rsidR="00AA3252" w:rsidRPr="00591F12">
        <w:t>, no</w:t>
      </w:r>
      <w:r w:rsidRPr="00591F12">
        <w:t xml:space="preserve"> </w:t>
      </w:r>
      <w:r w:rsidR="00591F12" w:rsidRPr="00591F12">
        <w:t>valor de</w:t>
      </w:r>
      <w:r w:rsidR="000864FC" w:rsidRPr="00591F12">
        <w:t xml:space="preserve"> R$ </w:t>
      </w:r>
      <w:r w:rsidR="000864FC" w:rsidRPr="00A70C3C">
        <w:rPr>
          <w:highlight w:val="yellow"/>
        </w:rPr>
        <w:t>XXXX</w:t>
      </w:r>
      <w:r w:rsidRPr="00A70C3C">
        <w:rPr>
          <w:highlight w:val="yellow"/>
        </w:rPr>
        <w:t xml:space="preserve"> para o </w:t>
      </w:r>
      <w:r w:rsidR="00217CB1">
        <w:rPr>
          <w:highlight w:val="yellow"/>
        </w:rPr>
        <w:t>objeto de (escrever nome</w:t>
      </w:r>
      <w:r w:rsidR="00591F12" w:rsidRPr="00A70C3C">
        <w:rPr>
          <w:highlight w:val="yellow"/>
        </w:rPr>
        <w:t>).</w:t>
      </w:r>
    </w:p>
    <w:p w14:paraId="290D3578" w14:textId="0D024421" w:rsidR="00325E5A" w:rsidRDefault="000864FC" w:rsidP="003357F4">
      <w:pPr>
        <w:pStyle w:val="NormalWeb"/>
        <w:spacing w:before="0" w:beforeAutospacing="0" w:after="0" w:afterAutospacing="0" w:line="360" w:lineRule="auto"/>
        <w:jc w:val="both"/>
      </w:pPr>
      <w:r w:rsidRPr="00591F12">
        <w:br/>
      </w:r>
      <w:r w:rsidR="00591F12" w:rsidRPr="00591F12">
        <w:t xml:space="preserve">Diante do exposto, </w:t>
      </w:r>
      <w:r w:rsidR="00911B17">
        <w:t xml:space="preserve">foi obtido </w:t>
      </w:r>
      <w:r w:rsidR="00911B17" w:rsidRPr="00911B17">
        <w:rPr>
          <w:highlight w:val="yellow"/>
        </w:rPr>
        <w:t>apenas dois orçamentos para compor a média de preços de mercado, devido a especificidade do objeto.</w:t>
      </w:r>
      <w:r w:rsidR="00911B17" w:rsidRPr="00911B17">
        <w:t xml:space="preserve"> Com</w:t>
      </w:r>
      <w:r w:rsidR="00911B17">
        <w:t xml:space="preserve"> isso, </w:t>
      </w:r>
      <w:r w:rsidR="00591F12" w:rsidRPr="00591F12">
        <w:t>u</w:t>
      </w:r>
      <w:r w:rsidRPr="00591F12">
        <w:t xml:space="preserve">nindo </w:t>
      </w:r>
      <w:r w:rsidR="00591F12" w:rsidRPr="00591F12">
        <w:t>a pesquisa</w:t>
      </w:r>
      <w:r w:rsidR="00911B17">
        <w:t xml:space="preserve"> de preço realizada n</w:t>
      </w:r>
      <w:r w:rsidR="006214BD" w:rsidRPr="00591F12">
        <w:t>a</w:t>
      </w:r>
      <w:r w:rsidRPr="00591F12">
        <w:t xml:space="preserve"> ferramenta eletrônica e as solicitações de orçamento feita</w:t>
      </w:r>
      <w:r w:rsidR="00723CFB">
        <w:t>s aos fornecedores, foi possível</w:t>
      </w:r>
      <w:r w:rsidR="00806D07" w:rsidRPr="00591F12">
        <w:t xml:space="preserve"> </w:t>
      </w:r>
      <w:r w:rsidRPr="00591F12">
        <w:t xml:space="preserve">formar </w:t>
      </w:r>
      <w:r w:rsidR="00723CFB" w:rsidRPr="00591F12">
        <w:t>uma estimativa</w:t>
      </w:r>
      <w:r w:rsidRPr="00591F12">
        <w:t xml:space="preserve"> de preço de mercado de </w:t>
      </w:r>
      <w:r w:rsidR="00806D07" w:rsidRPr="00591F12">
        <w:t>R$</w:t>
      </w:r>
      <w:r w:rsidRPr="00591F12">
        <w:t xml:space="preserve"> </w:t>
      </w:r>
      <w:r w:rsidRPr="00723CFB">
        <w:rPr>
          <w:highlight w:val="yellow"/>
        </w:rPr>
        <w:t>XXXX</w:t>
      </w:r>
      <w:r w:rsidR="007704DD" w:rsidRPr="00723CFB">
        <w:rPr>
          <w:highlight w:val="yellow"/>
        </w:rPr>
        <w:t xml:space="preserve"> (</w:t>
      </w:r>
      <w:r w:rsidRPr="00723CFB">
        <w:rPr>
          <w:highlight w:val="yellow"/>
        </w:rPr>
        <w:t>escrever valor total por extenso</w:t>
      </w:r>
      <w:r w:rsidR="007704DD" w:rsidRPr="00723CFB">
        <w:rPr>
          <w:highlight w:val="yellow"/>
        </w:rPr>
        <w:t>)</w:t>
      </w:r>
      <w:r w:rsidR="00591F12" w:rsidRPr="00591F12">
        <w:t>, conforme consta na tabela abaixo:</w:t>
      </w:r>
    </w:p>
    <w:p w14:paraId="0633FAE1" w14:textId="77777777" w:rsidR="00B81D3A" w:rsidRDefault="00B81D3A" w:rsidP="003357F4">
      <w:pPr>
        <w:pStyle w:val="NormalWeb"/>
        <w:spacing w:before="0" w:beforeAutospacing="0" w:after="0" w:afterAutospacing="0" w:line="360" w:lineRule="auto"/>
        <w:jc w:val="both"/>
      </w:pPr>
    </w:p>
    <w:p w14:paraId="7AC90B0A" w14:textId="77777777" w:rsidR="00325E5A" w:rsidRPr="00325E5A" w:rsidRDefault="00325E5A" w:rsidP="003357F4">
      <w:pPr>
        <w:pStyle w:val="NormalWeb"/>
        <w:spacing w:before="0" w:beforeAutospacing="0" w:after="0" w:afterAutospacing="0" w:line="360" w:lineRule="auto"/>
        <w:jc w:val="both"/>
      </w:pPr>
    </w:p>
    <w:tbl>
      <w:tblPr>
        <w:tblStyle w:val="Tabelacomgrade"/>
        <w:tblW w:w="11483" w:type="dxa"/>
        <w:tblInd w:w="-1310" w:type="dxa"/>
        <w:tblLook w:val="04A0" w:firstRow="1" w:lastRow="0" w:firstColumn="1" w:lastColumn="0" w:noHBand="0" w:noVBand="1"/>
      </w:tblPr>
      <w:tblGrid>
        <w:gridCol w:w="1134"/>
        <w:gridCol w:w="851"/>
        <w:gridCol w:w="2552"/>
        <w:gridCol w:w="2126"/>
        <w:gridCol w:w="1559"/>
        <w:gridCol w:w="1789"/>
        <w:gridCol w:w="1472"/>
      </w:tblGrid>
      <w:tr w:rsidR="00325E5A" w14:paraId="21493DCC" w14:textId="77777777" w:rsidTr="00911B17">
        <w:trPr>
          <w:trHeight w:val="393"/>
        </w:trPr>
        <w:tc>
          <w:tcPr>
            <w:tcW w:w="11483" w:type="dxa"/>
            <w:gridSpan w:val="7"/>
          </w:tcPr>
          <w:p w14:paraId="0DB985A8" w14:textId="77777777" w:rsid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MÉDIA DE PREÇOS DE MERCADO</w:t>
            </w:r>
          </w:p>
        </w:tc>
      </w:tr>
      <w:tr w:rsidR="00325E5A" w14:paraId="2E90ADE6" w14:textId="77777777" w:rsidTr="00911B17">
        <w:trPr>
          <w:trHeight w:val="793"/>
        </w:trPr>
        <w:tc>
          <w:tcPr>
            <w:tcW w:w="1134" w:type="dxa"/>
          </w:tcPr>
          <w:p w14:paraId="11D484B1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>Quant.</w:t>
            </w:r>
          </w:p>
        </w:tc>
        <w:tc>
          <w:tcPr>
            <w:tcW w:w="851" w:type="dxa"/>
          </w:tcPr>
          <w:p w14:paraId="20F33C04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>Unid.</w:t>
            </w:r>
          </w:p>
        </w:tc>
        <w:tc>
          <w:tcPr>
            <w:tcW w:w="2552" w:type="dxa"/>
          </w:tcPr>
          <w:p w14:paraId="2E522465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>Especificação</w:t>
            </w:r>
          </w:p>
        </w:tc>
        <w:tc>
          <w:tcPr>
            <w:tcW w:w="2126" w:type="dxa"/>
          </w:tcPr>
          <w:p w14:paraId="204B0059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Fer. </w:t>
            </w:r>
            <w:r w:rsidRPr="00325E5A">
              <w:rPr>
                <w:b/>
              </w:rPr>
              <w:t>Eletrônica</w:t>
            </w:r>
          </w:p>
        </w:tc>
        <w:tc>
          <w:tcPr>
            <w:tcW w:w="1559" w:type="dxa"/>
          </w:tcPr>
          <w:p w14:paraId="78591F02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>Empresa X</w:t>
            </w:r>
          </w:p>
        </w:tc>
        <w:tc>
          <w:tcPr>
            <w:tcW w:w="1789" w:type="dxa"/>
          </w:tcPr>
          <w:p w14:paraId="0E079746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 xml:space="preserve">Valor </w:t>
            </w:r>
            <w:r w:rsidRPr="00325E5A">
              <w:rPr>
                <w:b/>
                <w:highlight w:val="yellow"/>
              </w:rPr>
              <w:t>Unit. OU Mensal</w:t>
            </w:r>
          </w:p>
        </w:tc>
        <w:tc>
          <w:tcPr>
            <w:tcW w:w="1472" w:type="dxa"/>
          </w:tcPr>
          <w:p w14:paraId="54432288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25E5A">
              <w:rPr>
                <w:b/>
              </w:rPr>
              <w:t>Valor Total</w:t>
            </w:r>
          </w:p>
        </w:tc>
      </w:tr>
      <w:tr w:rsidR="00325E5A" w14:paraId="1FA05996" w14:textId="77777777" w:rsidTr="00911B17">
        <w:trPr>
          <w:trHeight w:val="1192"/>
        </w:trPr>
        <w:tc>
          <w:tcPr>
            <w:tcW w:w="1134" w:type="dxa"/>
          </w:tcPr>
          <w:p w14:paraId="7F6C1902" w14:textId="77777777" w:rsidR="00325E5A" w:rsidRPr="00911B17" w:rsidRDefault="00911B17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highlight w:val="yellow"/>
              </w:rPr>
            </w:pPr>
            <w:r w:rsidRPr="00911B17">
              <w:rPr>
                <w:highlight w:val="yellow"/>
              </w:rPr>
              <w:t>30</w:t>
            </w:r>
          </w:p>
        </w:tc>
        <w:tc>
          <w:tcPr>
            <w:tcW w:w="851" w:type="dxa"/>
          </w:tcPr>
          <w:p w14:paraId="7108545D" w14:textId="77777777" w:rsidR="00325E5A" w:rsidRPr="00911B17" w:rsidRDefault="00911B17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highlight w:val="yellow"/>
              </w:rPr>
            </w:pPr>
            <w:r w:rsidRPr="00911B17">
              <w:rPr>
                <w:highlight w:val="yellow"/>
              </w:rPr>
              <w:t>Unid.</w:t>
            </w:r>
          </w:p>
        </w:tc>
        <w:tc>
          <w:tcPr>
            <w:tcW w:w="2552" w:type="dxa"/>
          </w:tcPr>
          <w:p w14:paraId="679970B0" w14:textId="77777777" w:rsidR="00325E5A" w:rsidRPr="00325E5A" w:rsidRDefault="00911B17" w:rsidP="00911B1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highlight w:val="yellow"/>
              </w:rPr>
            </w:pPr>
            <w:r>
              <w:rPr>
                <w:highlight w:val="yellow"/>
              </w:rPr>
              <w:t>Contratação de empresa pata f</w:t>
            </w:r>
            <w:r w:rsidRPr="009407AE">
              <w:rPr>
                <w:highlight w:val="yellow"/>
              </w:rPr>
              <w:t>ornecimento de filtros, óleos, e lubrificantes incluindo mão de obra para manutenção dos veículos da frota do Município de Palhoça</w:t>
            </w:r>
          </w:p>
        </w:tc>
        <w:tc>
          <w:tcPr>
            <w:tcW w:w="2126" w:type="dxa"/>
          </w:tcPr>
          <w:p w14:paraId="0485085A" w14:textId="77777777" w:rsidR="00325E5A" w:rsidRPr="00325E5A" w:rsidRDefault="00325E5A" w:rsidP="00E81C6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Pr="00325E5A">
              <w:rPr>
                <w:highlight w:val="yellow"/>
              </w:rPr>
              <w:t>XXXX</w:t>
            </w:r>
          </w:p>
        </w:tc>
        <w:tc>
          <w:tcPr>
            <w:tcW w:w="1559" w:type="dxa"/>
          </w:tcPr>
          <w:p w14:paraId="7E9E1432" w14:textId="77777777" w:rsidR="00325E5A" w:rsidRPr="00325E5A" w:rsidRDefault="00325E5A" w:rsidP="00E81C6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Pr="00325E5A">
              <w:rPr>
                <w:highlight w:val="yellow"/>
              </w:rPr>
              <w:t>XXXX</w:t>
            </w:r>
          </w:p>
        </w:tc>
        <w:tc>
          <w:tcPr>
            <w:tcW w:w="1789" w:type="dxa"/>
          </w:tcPr>
          <w:p w14:paraId="1179C883" w14:textId="77777777" w:rsidR="00325E5A" w:rsidRPr="00325E5A" w:rsidRDefault="00325E5A" w:rsidP="00E81C63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Pr="00325E5A">
              <w:rPr>
                <w:highlight w:val="yellow"/>
              </w:rPr>
              <w:t>XXXX</w:t>
            </w:r>
          </w:p>
        </w:tc>
        <w:tc>
          <w:tcPr>
            <w:tcW w:w="1472" w:type="dxa"/>
          </w:tcPr>
          <w:p w14:paraId="080E174B" w14:textId="77777777" w:rsidR="00325E5A" w:rsidRPr="00325E5A" w:rsidRDefault="00325E5A" w:rsidP="00325E5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Pr="00325E5A">
              <w:rPr>
                <w:highlight w:val="yellow"/>
              </w:rPr>
              <w:t>XXXX</w:t>
            </w:r>
          </w:p>
        </w:tc>
      </w:tr>
    </w:tbl>
    <w:p w14:paraId="659991F4" w14:textId="77777777" w:rsidR="008F79EF" w:rsidRPr="003357F4" w:rsidRDefault="008F79EF" w:rsidP="003357F4">
      <w:pPr>
        <w:pStyle w:val="NormalWeb"/>
        <w:spacing w:before="0" w:beforeAutospacing="0" w:after="0" w:afterAutospacing="0" w:line="360" w:lineRule="auto"/>
        <w:jc w:val="both"/>
        <w:rPr>
          <w:color w:val="666666"/>
        </w:rPr>
      </w:pPr>
    </w:p>
    <w:p w14:paraId="4F811BE6" w14:textId="77777777" w:rsidR="00642B5C" w:rsidRDefault="00642B5C" w:rsidP="00071B4F">
      <w:pPr>
        <w:pBdr>
          <w:top w:val="nil"/>
          <w:left w:val="nil"/>
          <w:bottom w:val="nil"/>
          <w:right w:val="nil"/>
          <w:between w:val="nil"/>
        </w:pBdr>
        <w:ind w:right="-994"/>
        <w:rPr>
          <w:color w:val="000000"/>
          <w:szCs w:val="24"/>
        </w:rPr>
      </w:pPr>
    </w:p>
    <w:p w14:paraId="271833BA" w14:textId="77777777" w:rsidR="00BF1AE4" w:rsidRDefault="00BF1AE4" w:rsidP="00BF1AE4">
      <w:pPr>
        <w:tabs>
          <w:tab w:val="left" w:pos="903"/>
          <w:tab w:val="left" w:pos="904"/>
        </w:tabs>
        <w:spacing w:line="360" w:lineRule="auto"/>
        <w:ind w:right="-427"/>
        <w:jc w:val="both"/>
        <w:rPr>
          <w:color w:val="666666"/>
          <w:szCs w:val="24"/>
        </w:rPr>
      </w:pPr>
    </w:p>
    <w:p w14:paraId="668532FF" w14:textId="77777777" w:rsidR="000E5668" w:rsidRPr="00591F12" w:rsidRDefault="00071B4F" w:rsidP="00911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right="-568"/>
        <w:jc w:val="both"/>
        <w:rPr>
          <w:rFonts w:ascii="Times New Roman" w:hAnsi="Times New Roman"/>
          <w:szCs w:val="24"/>
        </w:rPr>
      </w:pPr>
      <w:r w:rsidRPr="00591F12">
        <w:rPr>
          <w:rFonts w:ascii="Times New Roman" w:hAnsi="Times New Roman"/>
          <w:szCs w:val="24"/>
        </w:rPr>
        <w:t>Palhoça</w:t>
      </w:r>
      <w:r w:rsidR="00591F12">
        <w:rPr>
          <w:rFonts w:ascii="Times New Roman" w:hAnsi="Times New Roman"/>
          <w:szCs w:val="24"/>
        </w:rPr>
        <w:t>/SC</w:t>
      </w:r>
      <w:r w:rsidRPr="00591F12">
        <w:rPr>
          <w:rFonts w:ascii="Times New Roman" w:hAnsi="Times New Roman"/>
          <w:szCs w:val="24"/>
        </w:rPr>
        <w:t xml:space="preserve">, </w:t>
      </w:r>
      <w:r w:rsidRPr="00325E5A">
        <w:rPr>
          <w:rFonts w:ascii="Times New Roman" w:hAnsi="Times New Roman"/>
          <w:szCs w:val="24"/>
          <w:highlight w:val="yellow"/>
        </w:rPr>
        <w:t>XX</w:t>
      </w:r>
      <w:r w:rsidRPr="00591F12">
        <w:rPr>
          <w:rFonts w:ascii="Times New Roman" w:hAnsi="Times New Roman"/>
          <w:szCs w:val="24"/>
        </w:rPr>
        <w:t xml:space="preserve"> de </w:t>
      </w:r>
      <w:r w:rsidR="00325E5A">
        <w:rPr>
          <w:rFonts w:ascii="Times New Roman" w:hAnsi="Times New Roman"/>
          <w:szCs w:val="24"/>
          <w:highlight w:val="yellow"/>
        </w:rPr>
        <w:t>XX</w:t>
      </w:r>
      <w:r w:rsidRPr="00591F12">
        <w:rPr>
          <w:rFonts w:ascii="Times New Roman" w:hAnsi="Times New Roman"/>
          <w:szCs w:val="24"/>
        </w:rPr>
        <w:t xml:space="preserve"> de 202</w:t>
      </w:r>
      <w:r w:rsidRPr="00325E5A">
        <w:rPr>
          <w:rFonts w:ascii="Times New Roman" w:hAnsi="Times New Roman"/>
          <w:szCs w:val="24"/>
          <w:highlight w:val="yellow"/>
        </w:rPr>
        <w:t>X</w:t>
      </w:r>
      <w:r w:rsidRPr="00591F12">
        <w:rPr>
          <w:rFonts w:ascii="Times New Roman" w:hAnsi="Times New Roman"/>
          <w:szCs w:val="24"/>
        </w:rPr>
        <w:t>.</w:t>
      </w:r>
    </w:p>
    <w:p w14:paraId="1F0244F8" w14:textId="77777777" w:rsidR="00071B4F" w:rsidRDefault="00071B4F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rPr>
          <w:rFonts w:ascii="Times New Roman" w:hAnsi="Times New Roman"/>
          <w:szCs w:val="24"/>
        </w:rPr>
      </w:pPr>
    </w:p>
    <w:p w14:paraId="351C99E3" w14:textId="77777777" w:rsidR="00723CFB" w:rsidRDefault="00723CFB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rPr>
          <w:rFonts w:ascii="Times New Roman" w:hAnsi="Times New Roman"/>
          <w:szCs w:val="24"/>
        </w:rPr>
      </w:pPr>
    </w:p>
    <w:p w14:paraId="2548715C" w14:textId="77777777" w:rsidR="00723CFB" w:rsidRPr="00591F12" w:rsidRDefault="00723CFB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rPr>
          <w:rFonts w:ascii="Times New Roman" w:hAnsi="Times New Roman"/>
          <w:szCs w:val="24"/>
        </w:rPr>
      </w:pPr>
    </w:p>
    <w:p w14:paraId="67318C5E" w14:textId="77777777" w:rsidR="00965755" w:rsidRPr="00A00B20" w:rsidRDefault="00965755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center"/>
        <w:rPr>
          <w:rFonts w:ascii="Times New Roman" w:hAnsi="Times New Roman"/>
          <w:b/>
          <w:szCs w:val="24"/>
        </w:rPr>
      </w:pPr>
    </w:p>
    <w:p w14:paraId="72E2E9F5" w14:textId="77777777" w:rsidR="00965755" w:rsidRPr="00A00B20" w:rsidRDefault="00965755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center"/>
        <w:rPr>
          <w:rFonts w:ascii="Times New Roman" w:hAnsi="Times New Roman"/>
          <w:b/>
          <w:szCs w:val="24"/>
          <w:highlight w:val="yellow"/>
        </w:rPr>
      </w:pPr>
      <w:r w:rsidRPr="00A00B20">
        <w:rPr>
          <w:rFonts w:ascii="Times New Roman" w:hAnsi="Times New Roman"/>
          <w:b/>
          <w:szCs w:val="24"/>
          <w:highlight w:val="yellow"/>
        </w:rPr>
        <w:t>NOME DO SECRETÁRIO(A)</w:t>
      </w:r>
    </w:p>
    <w:p w14:paraId="063646DB" w14:textId="77777777" w:rsidR="00965755" w:rsidRPr="00591F12" w:rsidRDefault="00965755" w:rsidP="00965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center"/>
        <w:rPr>
          <w:rFonts w:ascii="Times New Roman" w:hAnsi="Times New Roman"/>
          <w:szCs w:val="24"/>
        </w:rPr>
      </w:pPr>
      <w:r w:rsidRPr="00591F12">
        <w:rPr>
          <w:rFonts w:ascii="Times New Roman" w:hAnsi="Times New Roman"/>
          <w:szCs w:val="24"/>
          <w:highlight w:val="yellow"/>
        </w:rPr>
        <w:t>SECRETÁRI</w:t>
      </w:r>
      <w:r w:rsidR="00591F12" w:rsidRPr="00591F12">
        <w:rPr>
          <w:rFonts w:ascii="Times New Roman" w:hAnsi="Times New Roman"/>
          <w:szCs w:val="24"/>
          <w:highlight w:val="yellow"/>
        </w:rPr>
        <w:t>O(</w:t>
      </w:r>
      <w:r w:rsidRPr="00591F12">
        <w:rPr>
          <w:rFonts w:ascii="Times New Roman" w:hAnsi="Times New Roman"/>
          <w:szCs w:val="24"/>
          <w:highlight w:val="yellow"/>
        </w:rPr>
        <w:t>A)</w:t>
      </w:r>
      <w:r w:rsidR="00591F12" w:rsidRPr="00591F12">
        <w:rPr>
          <w:rFonts w:ascii="Times New Roman" w:hAnsi="Times New Roman"/>
          <w:szCs w:val="24"/>
          <w:highlight w:val="yellow"/>
        </w:rPr>
        <w:t xml:space="preserve"> MUNICIPAL DE XXXX</w:t>
      </w:r>
    </w:p>
    <w:p w14:paraId="6B48F3EE" w14:textId="77777777" w:rsidR="00BB4A6C" w:rsidRDefault="00BB4A6C" w:rsidP="00BB4A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both"/>
        <w:rPr>
          <w:color w:val="666666"/>
          <w:szCs w:val="24"/>
        </w:rPr>
      </w:pPr>
    </w:p>
    <w:p w14:paraId="68C2F063" w14:textId="77777777" w:rsidR="00BB4A6C" w:rsidRPr="00D56254" w:rsidRDefault="00BB4A6C" w:rsidP="009B0058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sectPr w:rsidR="00BB4A6C" w:rsidRPr="00D56254" w:rsidSect="004637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E720" w14:textId="77777777" w:rsidR="004637FD" w:rsidRDefault="004637FD" w:rsidP="000B5B5E">
      <w:r>
        <w:separator/>
      </w:r>
    </w:p>
  </w:endnote>
  <w:endnote w:type="continuationSeparator" w:id="0">
    <w:p w14:paraId="44EE9DC2" w14:textId="77777777" w:rsidR="004637FD" w:rsidRDefault="004637FD" w:rsidP="000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84CC" w14:textId="77777777" w:rsidR="004637FD" w:rsidRDefault="004637FD" w:rsidP="000B5B5E">
      <w:r>
        <w:separator/>
      </w:r>
    </w:p>
  </w:footnote>
  <w:footnote w:type="continuationSeparator" w:id="0">
    <w:p w14:paraId="23C5055C" w14:textId="77777777" w:rsidR="004637FD" w:rsidRDefault="004637FD" w:rsidP="000B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B776A" w14:textId="77777777" w:rsidR="000B5B5E" w:rsidRDefault="000B5B5E" w:rsidP="000B5B5E">
    <w:pPr>
      <w:pStyle w:val="Cabealho"/>
      <w:jc w:val="center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6D184FAA" wp14:editId="58B52A7C">
          <wp:simplePos x="0" y="0"/>
          <wp:positionH relativeFrom="column">
            <wp:posOffset>2501265</wp:posOffset>
          </wp:positionH>
          <wp:positionV relativeFrom="paragraph">
            <wp:posOffset>-173355</wp:posOffset>
          </wp:positionV>
          <wp:extent cx="409575" cy="533400"/>
          <wp:effectExtent l="0" t="0" r="9525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60CA8A" w14:textId="77777777" w:rsidR="000B5B5E" w:rsidRDefault="000B5B5E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</w:p>
  <w:p w14:paraId="2046F058" w14:textId="77777777" w:rsidR="000B5B5E" w:rsidRDefault="00DD689F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ab/>
    </w:r>
  </w:p>
  <w:p w14:paraId="5C7F1C22" w14:textId="77777777"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/>
        <w:bCs/>
        <w:sz w:val="16"/>
        <w:szCs w:val="16"/>
      </w:rPr>
    </w:pPr>
    <w:r w:rsidRPr="000719DA">
      <w:rPr>
        <w:rFonts w:ascii="Times New Roman" w:hAnsi="Times New Roman"/>
        <w:b/>
        <w:bCs/>
        <w:sz w:val="16"/>
        <w:szCs w:val="16"/>
      </w:rPr>
      <w:t>ESTADO DE SANTA CATARINA</w:t>
    </w:r>
  </w:p>
  <w:p w14:paraId="13673F16" w14:textId="77777777"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/>
        <w:sz w:val="16"/>
        <w:szCs w:val="16"/>
      </w:rPr>
    </w:pPr>
    <w:r w:rsidRPr="000719DA">
      <w:rPr>
        <w:rFonts w:ascii="Times New Roman" w:hAnsi="Times New Roman"/>
        <w:b/>
        <w:sz w:val="16"/>
        <w:szCs w:val="16"/>
      </w:rPr>
      <w:t>PREFEITURA MUNICIPAL DE PALHOÇA</w:t>
    </w:r>
  </w:p>
  <w:p w14:paraId="7AEBF6B2" w14:textId="77777777"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Av.</w:t>
    </w:r>
    <w:r w:rsidRPr="000719DA">
      <w:rPr>
        <w:rFonts w:ascii="Times New Roman" w:hAnsi="Times New Roman"/>
        <w:bCs/>
        <w:sz w:val="16"/>
        <w:szCs w:val="16"/>
      </w:rPr>
      <w:t xml:space="preserve"> </w:t>
    </w:r>
    <w:proofErr w:type="spellStart"/>
    <w:r w:rsidRPr="000719DA">
      <w:rPr>
        <w:rFonts w:ascii="Times New Roman" w:hAnsi="Times New Roman"/>
        <w:bCs/>
        <w:sz w:val="16"/>
        <w:szCs w:val="16"/>
      </w:rPr>
      <w:t>Hilza</w:t>
    </w:r>
    <w:proofErr w:type="spellEnd"/>
    <w:r w:rsidRPr="000719DA">
      <w:rPr>
        <w:rFonts w:ascii="Times New Roman" w:hAnsi="Times New Roman"/>
        <w:bCs/>
        <w:sz w:val="16"/>
        <w:szCs w:val="16"/>
      </w:rPr>
      <w:t xml:space="preserve"> Terezinha Pagani, 280 - Parque Residencial Pagani, Palhoça/SC.</w:t>
    </w:r>
  </w:p>
  <w:p w14:paraId="49640459" w14:textId="77777777" w:rsidR="000B5B5E" w:rsidRPr="000719DA" w:rsidRDefault="000B5B5E" w:rsidP="000B5B5E">
    <w:pPr>
      <w:pStyle w:val="Cabealho"/>
      <w:ind w:right="-34"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FONE: 3220-0300 – CNPJ</w:t>
    </w:r>
    <w:r w:rsidRPr="000719DA">
      <w:rPr>
        <w:rFonts w:ascii="Times New Roman" w:hAnsi="Times New Roman"/>
        <w:bCs/>
        <w:sz w:val="16"/>
        <w:szCs w:val="16"/>
      </w:rPr>
      <w:t>: 82.892.316/0001-08 – CEP: 88 130-900</w:t>
    </w:r>
  </w:p>
  <w:p w14:paraId="1D07A393" w14:textId="77777777" w:rsidR="000B5B5E" w:rsidRDefault="000B5B5E" w:rsidP="000B5B5E">
    <w:pPr>
      <w:pStyle w:val="Cabealho"/>
      <w:ind w:right="-34"/>
      <w:jc w:val="center"/>
    </w:pPr>
    <w:r w:rsidRPr="000719DA">
      <w:rPr>
        <w:rFonts w:ascii="Times New Roman" w:hAnsi="Times New Roman"/>
        <w:bCs/>
        <w:sz w:val="16"/>
        <w:szCs w:val="16"/>
      </w:rPr>
      <w:t xml:space="preserve">site: </w:t>
    </w:r>
    <w:hyperlink r:id="rId2" w:history="1">
      <w:r w:rsidRPr="00206FC9">
        <w:rPr>
          <w:rStyle w:val="Hyperlink"/>
          <w:rFonts w:ascii="Times New Roman" w:hAnsi="Times New Roman"/>
          <w:bCs/>
          <w:sz w:val="16"/>
          <w:szCs w:val="16"/>
        </w:rPr>
        <w:t>palhoca.atende.net</w:t>
      </w:r>
    </w:hyperlink>
  </w:p>
  <w:p w14:paraId="491AFEB1" w14:textId="77777777" w:rsidR="000B5B5E" w:rsidRDefault="000B5B5E" w:rsidP="000B5B5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9FD"/>
    <w:multiLevelType w:val="hybridMultilevel"/>
    <w:tmpl w:val="BBBCD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2606BF"/>
    <w:multiLevelType w:val="hybridMultilevel"/>
    <w:tmpl w:val="CAA24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81916">
    <w:abstractNumId w:val="1"/>
  </w:num>
  <w:num w:numId="2" w16cid:durableId="1741099734">
    <w:abstractNumId w:val="2"/>
  </w:num>
  <w:num w:numId="3" w16cid:durableId="2116828633">
    <w:abstractNumId w:val="3"/>
  </w:num>
  <w:num w:numId="4" w16cid:durableId="15307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E"/>
    <w:rsid w:val="000615C3"/>
    <w:rsid w:val="00071B4F"/>
    <w:rsid w:val="000864FC"/>
    <w:rsid w:val="0009400E"/>
    <w:rsid w:val="000A2396"/>
    <w:rsid w:val="000B5B5E"/>
    <w:rsid w:val="000D46B0"/>
    <w:rsid w:val="000D664F"/>
    <w:rsid w:val="000E5668"/>
    <w:rsid w:val="001459C2"/>
    <w:rsid w:val="001B19A7"/>
    <w:rsid w:val="002041DF"/>
    <w:rsid w:val="00217CB1"/>
    <w:rsid w:val="00245F7D"/>
    <w:rsid w:val="0027567C"/>
    <w:rsid w:val="0028192D"/>
    <w:rsid w:val="002865D2"/>
    <w:rsid w:val="00325E5A"/>
    <w:rsid w:val="003357F4"/>
    <w:rsid w:val="003625BD"/>
    <w:rsid w:val="00373ED3"/>
    <w:rsid w:val="0039678C"/>
    <w:rsid w:val="003D12FF"/>
    <w:rsid w:val="003F4098"/>
    <w:rsid w:val="004071CB"/>
    <w:rsid w:val="004637FD"/>
    <w:rsid w:val="004C3776"/>
    <w:rsid w:val="004C3E0B"/>
    <w:rsid w:val="004F7300"/>
    <w:rsid w:val="00513B7C"/>
    <w:rsid w:val="0056531D"/>
    <w:rsid w:val="00591F12"/>
    <w:rsid w:val="005F3189"/>
    <w:rsid w:val="005F6F7A"/>
    <w:rsid w:val="006214BD"/>
    <w:rsid w:val="00642B5C"/>
    <w:rsid w:val="00645294"/>
    <w:rsid w:val="006714E5"/>
    <w:rsid w:val="006818C7"/>
    <w:rsid w:val="0071407B"/>
    <w:rsid w:val="00723CFB"/>
    <w:rsid w:val="00754683"/>
    <w:rsid w:val="00755E60"/>
    <w:rsid w:val="007704DD"/>
    <w:rsid w:val="007B6D8A"/>
    <w:rsid w:val="007F535B"/>
    <w:rsid w:val="00806D07"/>
    <w:rsid w:val="00826EA1"/>
    <w:rsid w:val="00841120"/>
    <w:rsid w:val="008D1081"/>
    <w:rsid w:val="008F5200"/>
    <w:rsid w:val="008F79EF"/>
    <w:rsid w:val="00911B17"/>
    <w:rsid w:val="009367F4"/>
    <w:rsid w:val="009407AE"/>
    <w:rsid w:val="00965755"/>
    <w:rsid w:val="00973383"/>
    <w:rsid w:val="009B0058"/>
    <w:rsid w:val="009D72FE"/>
    <w:rsid w:val="00A00B20"/>
    <w:rsid w:val="00A16B77"/>
    <w:rsid w:val="00A534B2"/>
    <w:rsid w:val="00A70C3C"/>
    <w:rsid w:val="00A71E2C"/>
    <w:rsid w:val="00A74C01"/>
    <w:rsid w:val="00A77014"/>
    <w:rsid w:val="00AA3252"/>
    <w:rsid w:val="00B81D3A"/>
    <w:rsid w:val="00B853E6"/>
    <w:rsid w:val="00BB4A6C"/>
    <w:rsid w:val="00BB5521"/>
    <w:rsid w:val="00BF1AE4"/>
    <w:rsid w:val="00D1259F"/>
    <w:rsid w:val="00D96F72"/>
    <w:rsid w:val="00DB67B4"/>
    <w:rsid w:val="00DD689F"/>
    <w:rsid w:val="00DE54BC"/>
    <w:rsid w:val="00E26E00"/>
    <w:rsid w:val="00E61E61"/>
    <w:rsid w:val="00EB3CD7"/>
    <w:rsid w:val="00EB776A"/>
    <w:rsid w:val="00F24B5C"/>
    <w:rsid w:val="00F71489"/>
    <w:rsid w:val="00F90B63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2915F"/>
  <w15:docId w15:val="{8EEED2A4-7E75-4CDC-8AB6-17E242A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5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0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B5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0B5B5E"/>
  </w:style>
  <w:style w:type="paragraph" w:styleId="Rodap">
    <w:name w:val="footer"/>
    <w:basedOn w:val="Normal"/>
    <w:link w:val="RodapChar"/>
    <w:uiPriority w:val="99"/>
    <w:unhideWhenUsed/>
    <w:rsid w:val="000B5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5B5E"/>
  </w:style>
  <w:style w:type="character" w:styleId="Hyperlink">
    <w:name w:val="Hyperlink"/>
    <w:rsid w:val="000B5B5E"/>
    <w:rPr>
      <w:color w:val="000080"/>
      <w:u w:val="single"/>
    </w:rPr>
  </w:style>
  <w:style w:type="character" w:customStyle="1" w:styleId="Ttulo4Char">
    <w:name w:val="Título 4 Char"/>
    <w:basedOn w:val="Fontepargpadro"/>
    <w:link w:val="Ttulo4"/>
    <w:rsid w:val="000B5B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0B5B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B5B5E"/>
    <w:rPr>
      <w:rFonts w:ascii="Arial" w:eastAsia="Times New Roman" w:hAnsi="Arial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0B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11">
    <w:name w:val="Grade Média 11"/>
    <w:basedOn w:val="Tabelanormal"/>
    <w:uiPriority w:val="67"/>
    <w:rsid w:val="000B5B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Nivel01">
    <w:name w:val="Nivel 01"/>
    <w:basedOn w:val="Ttulo1"/>
    <w:next w:val="Normal"/>
    <w:link w:val="Nivel01Char"/>
    <w:autoRedefine/>
    <w:qFormat/>
    <w:rsid w:val="000B5B5E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0B5B5E"/>
    <w:pPr>
      <w:spacing w:before="120" w:after="120" w:line="276" w:lineRule="auto"/>
      <w:ind w:left="-567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3">
    <w:name w:val="Nivel 3"/>
    <w:basedOn w:val="Normal"/>
    <w:link w:val="Nivel3Char"/>
    <w:autoRedefine/>
    <w:qFormat/>
    <w:rsid w:val="000B5B5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eastAsiaTheme="minorEastAsia" w:cs="Arial"/>
      <w:color w:val="000000"/>
      <w:sz w:val="20"/>
      <w:lang w:eastAsia="en-US"/>
    </w:rPr>
  </w:style>
  <w:style w:type="paragraph" w:customStyle="1" w:styleId="Nivel4">
    <w:name w:val="Nivel 4"/>
    <w:basedOn w:val="Nivel3"/>
    <w:link w:val="Nivel4Char"/>
    <w:autoRedefine/>
    <w:qFormat/>
    <w:rsid w:val="000B5B5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0B5B5E"/>
    <w:pPr>
      <w:numPr>
        <w:ilvl w:val="4"/>
      </w:numPr>
      <w:ind w:left="1928" w:hanging="1077"/>
    </w:pPr>
  </w:style>
  <w:style w:type="character" w:customStyle="1" w:styleId="Nivel2Char">
    <w:name w:val="Nivel 2 Char"/>
    <w:basedOn w:val="Fontepargpadro"/>
    <w:link w:val="Nivel2"/>
    <w:locked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ou">
    <w:name w:val="ou"/>
    <w:basedOn w:val="PargrafodaLista"/>
    <w:link w:val="ouChar"/>
    <w:autoRedefine/>
    <w:qFormat/>
    <w:rsid w:val="000B5B5E"/>
    <w:pPr>
      <w:spacing w:line="312" w:lineRule="auto"/>
      <w:ind w:left="-567" w:right="-568"/>
      <w:contextualSpacing w:val="0"/>
      <w:jc w:val="center"/>
    </w:pPr>
    <w:rPr>
      <w:rFonts w:ascii="Times New Roman" w:eastAsiaTheme="minorHAnsi" w:hAnsi="Times New Roman"/>
      <w:b/>
      <w:bCs/>
      <w:i/>
      <w:iCs/>
      <w:color w:val="C00000"/>
      <w:szCs w:val="24"/>
      <w:u w:val="single"/>
    </w:rPr>
  </w:style>
  <w:style w:type="character" w:customStyle="1" w:styleId="ouChar">
    <w:name w:val="ou Char"/>
    <w:basedOn w:val="Fontepargpadro"/>
    <w:link w:val="ou"/>
    <w:rsid w:val="000B5B5E"/>
    <w:rPr>
      <w:rFonts w:ascii="Times New Roman" w:hAnsi="Times New Roman" w:cs="Times New Roman"/>
      <w:b/>
      <w:bCs/>
      <w:i/>
      <w:iCs/>
      <w:color w:val="C0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0B5B5E"/>
    <w:rPr>
      <w:rFonts w:ascii="Times New Roman" w:hAnsi="Times New Roman" w:cs="Times New Roman"/>
      <w:i/>
      <w:iCs/>
      <w:color w:val="C00000"/>
      <w:sz w:val="24"/>
      <w:szCs w:val="24"/>
    </w:rPr>
  </w:style>
  <w:style w:type="paragraph" w:customStyle="1" w:styleId="Nvel3-R">
    <w:name w:val="Nível 3-R"/>
    <w:basedOn w:val="Nivel3"/>
    <w:link w:val="Nvel3-RChar"/>
    <w:qFormat/>
    <w:rsid w:val="000B5B5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0B5B5E"/>
    <w:rPr>
      <w:rFonts w:ascii="Times New Roman" w:eastAsiaTheme="minorEastAsia" w:hAnsi="Times New Roman" w:cs="Times New Roman"/>
      <w:i/>
      <w:iCs/>
      <w:color w:val="C00000"/>
      <w:sz w:val="24"/>
      <w:szCs w:val="24"/>
    </w:rPr>
  </w:style>
  <w:style w:type="character" w:customStyle="1" w:styleId="Nvel3-RChar">
    <w:name w:val="Nível 3-R Char"/>
    <w:basedOn w:val="Fontepargpadro"/>
    <w:link w:val="Nvel3-R"/>
    <w:rsid w:val="000B5B5E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0B5B5E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Nvel1-SemBlack">
    <w:name w:val="Nível 1-Sem Black"/>
    <w:basedOn w:val="Normal"/>
    <w:link w:val="Nvel1-SemBlackChar"/>
    <w:qFormat/>
    <w:rsid w:val="000B5B5E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eastAsiaTheme="majorEastAsia" w:cs="Arial"/>
      <w:b/>
      <w:bCs/>
      <w:sz w:val="20"/>
    </w:rPr>
  </w:style>
  <w:style w:type="character" w:customStyle="1" w:styleId="Nvel1-SemBlackChar">
    <w:name w:val="Nível 1-Sem Black Char"/>
    <w:basedOn w:val="Fontepargpadro"/>
    <w:link w:val="Nvel1-SemBlack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0B5B5E"/>
    <w:pPr>
      <w:numPr>
        <w:numId w:val="0"/>
      </w:numPr>
      <w:spacing w:before="0" w:after="0"/>
      <w:ind w:left="-567" w:right="-568"/>
      <w:outlineLvl w:val="1"/>
    </w:pPr>
    <w:rPr>
      <w:rFonts w:ascii="Times New Roman" w:hAnsi="Times New Roman" w:cs="Times New Roman"/>
      <w:color w:val="000000" w:themeColor="text1"/>
      <w:sz w:val="24"/>
      <w:szCs w:val="24"/>
      <w:u w:val="single"/>
    </w:rPr>
  </w:style>
  <w:style w:type="character" w:customStyle="1" w:styleId="Nvel1-SemNumChar">
    <w:name w:val="Nível 1-Sem Num Char"/>
    <w:basedOn w:val="Fontepargpadro"/>
    <w:link w:val="Nvel1-SemNum"/>
    <w:rsid w:val="000B5B5E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u w:val="single"/>
      <w:lang w:eastAsia="pt-BR"/>
    </w:rPr>
  </w:style>
  <w:style w:type="character" w:customStyle="1" w:styleId="Nivel4Char">
    <w:name w:val="Nivel 4 Char"/>
    <w:basedOn w:val="Fontepargpadro"/>
    <w:link w:val="Nivel4"/>
    <w:rsid w:val="000B5B5E"/>
    <w:rPr>
      <w:rFonts w:ascii="Arial" w:eastAsiaTheme="minorEastAsia" w:hAnsi="Arial" w:cs="Arial"/>
      <w:sz w:val="20"/>
      <w:szCs w:val="20"/>
    </w:rPr>
  </w:style>
  <w:style w:type="character" w:customStyle="1" w:styleId="normaltextrun">
    <w:name w:val="normaltextrun"/>
    <w:basedOn w:val="Fontepargpadro"/>
    <w:rsid w:val="000B5B5E"/>
  </w:style>
  <w:style w:type="character" w:customStyle="1" w:styleId="Nivel01Char">
    <w:name w:val="Nivel 01 Char"/>
    <w:basedOn w:val="Fontepargpadro"/>
    <w:link w:val="Nivel01"/>
    <w:rsid w:val="000B5B5E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5B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0B5B5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B00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Nivel1">
    <w:name w:val="Nivel 1"/>
    <w:basedOn w:val="Nivel2"/>
    <w:next w:val="Nivel2"/>
    <w:qFormat/>
    <w:rsid w:val="009B0058"/>
    <w:pPr>
      <w:tabs>
        <w:tab w:val="num" w:pos="360"/>
      </w:tabs>
      <w:ind w:left="858" w:hanging="432"/>
    </w:pPr>
    <w:rPr>
      <w:rFonts w:ascii="Ecofont_Spranq_eco_Sans" w:eastAsia="Arial Unicode MS" w:hAnsi="Ecofont_Spranq_eco_Sans"/>
      <w:b/>
      <w:color w:val="auto"/>
      <w:lang w:eastAsia="pt-BR"/>
    </w:rPr>
  </w:style>
  <w:style w:type="paragraph" w:styleId="NormalWeb">
    <w:name w:val="Normal (Web)"/>
    <w:basedOn w:val="Normal"/>
    <w:uiPriority w:val="99"/>
    <w:unhideWhenUsed/>
    <w:rsid w:val="00BB4A6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986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Abreu Ramos</dc:creator>
  <cp:keywords/>
  <dc:description/>
  <cp:lastModifiedBy>Ytahara Simões do Livramento</cp:lastModifiedBy>
  <cp:revision>53</cp:revision>
  <dcterms:created xsi:type="dcterms:W3CDTF">2023-11-07T18:12:00Z</dcterms:created>
  <dcterms:modified xsi:type="dcterms:W3CDTF">2024-03-26T18:20:00Z</dcterms:modified>
</cp:coreProperties>
</file>